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168"/>
        <w:jc w:val="left"/>
        <w:rPr>
          <w:rFonts w:ascii="ＭＳ ゴシック" w:hAnsi="ＭＳ ゴシック" w:eastAsia="ＭＳ ゴシック" w:asciiTheme="majorEastAsia" w:eastAsiaTheme="majorEastAsia" w:hAnsiTheme="majorEastAsia"/>
          <w:b/>
          <w:b/>
          <w:sz w:val="36"/>
          <w:szCs w:val="36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36"/>
          <w:szCs w:val="36"/>
        </w:rPr>
        <w:t>売上高等確認表（４号認定）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１　売上高等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（１）最近１か月間</w:t>
      </w:r>
    </w:p>
    <w:tbl>
      <w:tblPr>
        <w:tblStyle w:val="a4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6"/>
        <w:gridCol w:w="2408"/>
        <w:gridCol w:w="2407"/>
        <w:gridCol w:w="2406"/>
      </w:tblGrid>
      <w:tr>
        <w:trPr>
          <w:trHeight w:val="394" w:hRule="atLeast"/>
        </w:trPr>
        <w:tc>
          <w:tcPr>
            <w:tcW w:w="240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対象月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売上高等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前年同期</w:t>
            </w:r>
          </w:p>
        </w:tc>
        <w:tc>
          <w:tcPr>
            <w:tcW w:w="2406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売上高等</w:t>
            </w:r>
          </w:p>
        </w:tc>
      </w:tr>
      <w:tr>
        <w:trPr>
          <w:trHeight w:val="631" w:hRule="atLeast"/>
        </w:trPr>
        <w:tc>
          <w:tcPr>
            <w:tcW w:w="24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　　　年　　月</w:t>
            </w:r>
          </w:p>
        </w:tc>
        <w:tc>
          <w:tcPr>
            <w:tcW w:w="240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160" w:firstLine="1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（</w:t>
            </w:r>
            <w:r>
              <w:rPr>
                <w:rFonts w:eastAsia="ＭＳ ゴシック" w:cs="" w:ascii="ＭＳ ゴシック" w:hAnsi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A</w:t>
            </w: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）　　　　　　円</w:t>
            </w:r>
          </w:p>
        </w:tc>
        <w:tc>
          <w:tcPr>
            <w:tcW w:w="240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　　　年　　月</w:t>
            </w:r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-258" w:hanging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（</w:t>
            </w:r>
            <w:r>
              <w:rPr>
                <w:rFonts w:eastAsia="ＭＳ ゴシック" w:cs="" w:ascii="ＭＳ ゴシック" w:hAnsi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B</w:t>
            </w: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）　　　　　　円</w:t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最近１か月売上高等の減少率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u w:val="single"/>
        </w:rPr>
        <w:t>B</w:t>
      </w: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）　　　　　　　　円　－　（</w:t>
      </w:r>
      <w:r>
        <w:rPr>
          <w:rFonts w:eastAsia="ＭＳ ゴシック" w:ascii="ＭＳ ゴシック" w:hAnsi="ＭＳ ゴシック" w:asciiTheme="majorEastAsia" w:eastAsiaTheme="majorEastAsia" w:hAnsiTheme="majorEastAsia"/>
          <w:u w:val="single"/>
        </w:rPr>
        <w:t>A</w:t>
      </w: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）　　　　　　　　円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×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１００　＝　　　　　　％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　　（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B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）　　　　　　　　円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（２）最近１か月間の後の２か月間</w:t>
      </w:r>
    </w:p>
    <w:tbl>
      <w:tblPr>
        <w:tblStyle w:val="a4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2407"/>
        <w:gridCol w:w="2407"/>
        <w:gridCol w:w="2406"/>
      </w:tblGrid>
      <w:tr>
        <w:trPr>
          <w:trHeight w:val="482" w:hRule="atLeast"/>
        </w:trPr>
        <w:tc>
          <w:tcPr>
            <w:tcW w:w="240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対象月</w:t>
            </w:r>
          </w:p>
        </w:tc>
        <w:tc>
          <w:tcPr>
            <w:tcW w:w="240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売上高等</w:t>
            </w:r>
          </w:p>
        </w:tc>
        <w:tc>
          <w:tcPr>
            <w:tcW w:w="240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前年同期</w:t>
            </w:r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売上高等</w:t>
            </w:r>
          </w:p>
        </w:tc>
      </w:tr>
      <w:tr>
        <w:trPr>
          <w:trHeight w:val="502" w:hRule="atLeast"/>
        </w:trPr>
        <w:tc>
          <w:tcPr>
            <w:tcW w:w="240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　  　年　　月</w:t>
            </w:r>
          </w:p>
        </w:tc>
        <w:tc>
          <w:tcPr>
            <w:tcW w:w="2407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円</w:t>
            </w:r>
          </w:p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10"/>
                <w:szCs w:val="22"/>
                <w:lang w:val="en-US" w:eastAsia="ja-JP" w:bidi="ar-SA"/>
              </w:rPr>
              <w:t>（見込み）</w:t>
            </w:r>
          </w:p>
        </w:tc>
        <w:tc>
          <w:tcPr>
            <w:tcW w:w="2407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　　  年　　月</w:t>
            </w:r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円</w:t>
            </w:r>
          </w:p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02" w:hRule="atLeast"/>
        </w:trPr>
        <w:tc>
          <w:tcPr>
            <w:tcW w:w="240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　  　年　　月</w:t>
            </w:r>
          </w:p>
        </w:tc>
        <w:tc>
          <w:tcPr>
            <w:tcW w:w="2407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円</w:t>
            </w:r>
          </w:p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10"/>
                <w:szCs w:val="22"/>
                <w:lang w:val="en-US" w:eastAsia="ja-JP" w:bidi="ar-SA"/>
              </w:rPr>
              <w:t>（見込み）</w:t>
            </w:r>
          </w:p>
        </w:tc>
        <w:tc>
          <w:tcPr>
            <w:tcW w:w="240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　  　年　　月</w:t>
            </w:r>
          </w:p>
        </w:tc>
        <w:tc>
          <w:tcPr>
            <w:tcW w:w="2406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円</w:t>
            </w:r>
          </w:p>
          <w:p>
            <w:pPr>
              <w:pStyle w:val="Normal"/>
              <w:widowControl w:val="false"/>
              <w:spacing w:lineRule="exact" w:line="240"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eastAsia="ＭＳ ゴシック" w:cs="" w:eastAsiaTheme="majorEastAsia" w:ascii="ＭＳ ゴシック" w:hAnsi="ＭＳ 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45" w:hRule="atLeast"/>
        </w:trPr>
        <w:tc>
          <w:tcPr>
            <w:tcW w:w="2407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計</w:t>
            </w:r>
          </w:p>
        </w:tc>
        <w:tc>
          <w:tcPr>
            <w:tcW w:w="2407" w:type="dxa"/>
            <w:tcBorders>
              <w:top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60" w:hanging="302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（</w:t>
            </w:r>
            <w:r>
              <w:rPr>
                <w:rFonts w:eastAsia="ＭＳ ゴシック" w:cs="" w:ascii="ＭＳ ゴシック" w:hAnsi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C</w:t>
            </w: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）  　　　　　円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10"/>
                <w:szCs w:val="22"/>
                <w:lang w:val="en-US" w:eastAsia="ja-JP" w:bidi="ar-SA"/>
              </w:rPr>
              <w:t>（見込み）</w:t>
            </w:r>
          </w:p>
        </w:tc>
        <w:tc>
          <w:tcPr>
            <w:tcW w:w="2407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計</w:t>
            </w:r>
          </w:p>
        </w:tc>
        <w:tc>
          <w:tcPr>
            <w:tcW w:w="2406" w:type="dxa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-404" w:hanging="113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（</w:t>
            </w:r>
            <w:r>
              <w:rPr>
                <w:rFonts w:eastAsia="ＭＳ ゴシック" w:cs="" w:ascii="ＭＳ ゴシック" w:hAnsi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D</w:t>
            </w: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21"/>
                <w:szCs w:val="22"/>
                <w:lang w:val="en-US" w:eastAsia="ja-JP" w:bidi="ar-SA"/>
              </w:rPr>
              <w:t>）  　　　　  円</w:t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（１）の期間を含めた３か月間の売上高等の減少率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u w:val="single"/>
        </w:rPr>
        <w:t>B</w:t>
      </w: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＋</w:t>
      </w:r>
      <w:r>
        <w:rPr>
          <w:rFonts w:eastAsia="ＭＳ ゴシック" w:ascii="ＭＳ ゴシック" w:hAnsi="ＭＳ ゴシック" w:asciiTheme="majorEastAsia" w:eastAsiaTheme="majorEastAsia" w:hAnsiTheme="majorEastAsia"/>
          <w:u w:val="single"/>
        </w:rPr>
        <w:t>D</w:t>
      </w: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）　　　　　　　　円　－　（</w:t>
      </w:r>
      <w:r>
        <w:rPr>
          <w:rFonts w:eastAsia="ＭＳ ゴシック" w:ascii="ＭＳ ゴシック" w:hAnsi="ＭＳ ゴシック" w:asciiTheme="majorEastAsia" w:eastAsiaTheme="majorEastAsia" w:hAnsiTheme="majorEastAsia"/>
          <w:u w:val="single"/>
        </w:rPr>
        <w:t>A</w:t>
      </w: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＋</w:t>
      </w:r>
      <w:r>
        <w:rPr>
          <w:rFonts w:eastAsia="ＭＳ ゴシック" w:ascii="ＭＳ ゴシック" w:hAnsi="ＭＳ ゴシック" w:asciiTheme="majorEastAsia" w:eastAsiaTheme="majorEastAsia" w:hAnsiTheme="majorEastAsia"/>
          <w:u w:val="single"/>
        </w:rPr>
        <w:t>C</w:t>
      </w:r>
      <w:r>
        <w:rPr>
          <w:rFonts w:ascii="ＭＳ ゴシック" w:hAnsi="ＭＳ ゴシック" w:eastAsia="ＭＳ ゴシック" w:asciiTheme="majorEastAsia" w:eastAsiaTheme="majorEastAsia" w:hAnsiTheme="majorEastAsia"/>
          <w:u w:val="single"/>
        </w:rPr>
        <w:t>）　　　　　　　　円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×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１００　＝　　　　％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　（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B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＋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D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）　　　　　　　　円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２　売上高等が減少し、又は減少すると見込まれる理由（詳細）</w:t>
      </w:r>
    </w:p>
    <w:tbl>
      <w:tblPr>
        <w:tblStyle w:val="a4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>
          <w:trHeight w:val="1755" w:hRule="atLeast"/>
        </w:trPr>
        <w:tc>
          <w:tcPr>
            <w:tcW w:w="962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hAnsi="ＭＳ ゴシック" w:cs="" w:eastAsia="ＭＳ ゴシック" w:asciiTheme="majorEastAsia" w:eastAsiaTheme="majorEastAsia" w:hAnsiTheme="majorEastAsia"/>
                <w:kern w:val="2"/>
                <w:sz w:val="18"/>
                <w:szCs w:val="18"/>
                <w:lang w:val="en-US" w:eastAsia="ja-JP" w:bidi="ar-SA"/>
              </w:rPr>
              <w:t>（災害発生に起因した売上高への影響を記載してください。別添可。）</w:t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  <mc:AlternateContent>
          <mc:Choice Requires="wps">
            <w:drawing>
              <wp:anchor behindDoc="0" distT="3175" distB="0" distL="3175" distR="0" simplePos="0" locked="0" layoutInCell="0" allowOverlap="1" relativeHeight="2" wp14:anchorId="04974860">
                <wp:simplePos x="0" y="0"/>
                <wp:positionH relativeFrom="column">
                  <wp:posOffset>3112135</wp:posOffset>
                </wp:positionH>
                <wp:positionV relativeFrom="paragraph">
                  <wp:posOffset>57150</wp:posOffset>
                </wp:positionV>
                <wp:extent cx="2966720" cy="1410970"/>
                <wp:effectExtent l="0" t="0" r="24765" b="18415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40" cy="141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金融機関等確認欄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上記内容について確認しました。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Style24"/>
                              <w:ind w:firstLine="33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　印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　　　　　　　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fillcolor="white" stroked="t" o:allowincell="f" style="position:absolute;margin-left:245.05pt;margin-top:4.5pt;width:233.5pt;height:111pt;mso-wrap-style:square;v-text-anchor:top" wp14:anchorId="04974860">
                <v:fill o:detectmouseclick="t" type="solid" color2="black"/>
                <v:stroke color="black" weight="6480" dashstyle="dash" joinstyle="round" endcap="flat"/>
                <v:textbox>
                  <w:txbxContent>
                    <w:p>
                      <w:pPr>
                        <w:pStyle w:val="Style24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金融機関等確認欄</w:t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上記内容について確認しました。</w:t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　　　　　　　　　　　　　　　</w:t>
                      </w:r>
                    </w:p>
                    <w:p>
                      <w:pPr>
                        <w:pStyle w:val="Style24"/>
                        <w:ind w:firstLine="33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　印</w:t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　　　　　　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上記の内容について、事実に相違ありません。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　　　　年　　　月　　　日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申請者</w:t>
      </w:r>
    </w:p>
    <w:p>
      <w:pPr>
        <w:pStyle w:val="Normal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住　所</w:t>
      </w:r>
      <w:bookmarkStart w:id="0" w:name="_GoBack"/>
      <w:bookmarkEnd w:id="0"/>
    </w:p>
    <w:p>
      <w:pPr>
        <w:pStyle w:val="Normal"/>
        <w:ind w:firstLine="210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氏　名　　　　　　　　</w:t>
      </w:r>
      <w:r>
        <w:rPr/>
        <w:t>　　　　　　　　　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0f610f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0f610f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c5a33"/>
    <w:pPr>
      <w:ind w:left="840" w:hanging="0"/>
    </w:pPr>
    <w:rPr/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0f610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0f610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5a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469E-7C19-4009-9FB8-A34FABE2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1</Pages>
  <Words>317</Words>
  <Characters>317</Characters>
  <CharactersWithSpaces>511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2023-10-02T23:46:00Z</dcterms:created>
  <dc:creator>金城 雄也</dc:creator>
  <dc:description/>
  <dc:language>ja-JP</dc:language>
  <cp:lastModifiedBy>各務原市役所</cp:lastModifiedBy>
  <cp:lastPrinted>2020-03-06T08:17:00Z</cp:lastPrinted>
  <dcterms:modified xsi:type="dcterms:W3CDTF">2023-10-02T23:46:00Z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